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leader="none" w:pos="9356"/>
        </w:tabs>
        <w:spacing w:after="0" w:before="0" w:line="276" w:lineRule="auto"/>
        <w:ind w:left="-364" w:right="4" w:firstLine="0"/>
        <w:jc w:val="both"/>
        <w:rPr>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leader="none" w:pos="9356"/>
        </w:tabs>
        <w:spacing w:after="0" w:before="0" w:line="276" w:lineRule="auto"/>
        <w:ind w:left="-364" w:right="4"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 Notice (How we use pupil information)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26" w:line="276" w:lineRule="auto"/>
        <w:ind w:left="-364" w:right="53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categories of pupil information that we collect, hold and share include: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 w:right="22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information (such as name, unique pupil number and address)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35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Characteristics (such as ethnicity, language, nationality, country of birth and free school meal eligibility)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19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information (such as sessions attended, number of absences and absence reasons)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371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information (progress marks, exam grades)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46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medical information (allergies etc.)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524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needs information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549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Exclusions/behavioural information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609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Post-16 learning information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 w:right="403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we collect and use this information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73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the pupil data: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 w:right="645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pupil learning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50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and report on pupil progress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541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appropriate pastoral care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55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assess the quality of our services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45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comply with the law regarding data sharing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40" w:line="276" w:lineRule="auto"/>
        <w:ind w:left="-364" w:right="275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lawful basis on which we use this information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17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collect and use pupil information under Article 6 and Article 9 of the GDPR and the Education Act 1996.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4" w:line="276" w:lineRule="auto"/>
        <w:ind w:left="-364" w:right="5678" w:firstLine="0"/>
        <w:jc w:val="both"/>
        <w:rPr>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4" w:line="276" w:lineRule="auto"/>
        <w:ind w:left="-364" w:right="5678" w:firstLine="0"/>
        <w:jc w:val="both"/>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4" w:line="276" w:lineRule="auto"/>
        <w:ind w:left="-364" w:right="5678" w:firstLine="0"/>
        <w:jc w:val="both"/>
        <w:rPr>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4" w:line="276" w:lineRule="auto"/>
        <w:ind w:left="-364" w:right="567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Collecting pupil information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3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 w:right="701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Storing pupil data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383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hold pupil data until the pupil reaches the age of 25 years.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40" w:line="276" w:lineRule="auto"/>
        <w:ind w:left="-364" w:right="440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we share pupil information with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6" w:line="276" w:lineRule="auto"/>
        <w:ind w:left="-364" w:right="55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routinely share pupil information with: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7" w:right="453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partner organisation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7" w:right="453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institutions that the pupils attend after leaving us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57" w:right="695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local authority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7" w:right="541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for Education (DfE)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57" w:right="105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and after receiving written requests, the NHS and law enforcement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57" w:right="105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 w:right="509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we share pupil information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6" w:line="276" w:lineRule="auto"/>
        <w:ind w:left="-364" w:right="-19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not share information about our pupils with anyone without consent unless the law and our policies allow us to do so.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35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share pupils’ data with the Department for Education (DfE) on a statutory basis. This data sharing underpins school funding and educational attainment policy and monitoring.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68" w:line="276" w:lineRule="auto"/>
        <w:ind w:left="-364" w:right="-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required to share information about our pupils with the (DfE) under regulation 5 of The Education (Information About Individual Pupils) (England) Regulations 2013.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40" w:line="276" w:lineRule="auto"/>
        <w:ind w:left="-364" w:right="5428" w:firstLine="0"/>
        <w:jc w:val="both"/>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40" w:line="276" w:lineRule="auto"/>
        <w:ind w:left="-364" w:right="5428" w:firstLine="0"/>
        <w:jc w:val="both"/>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40" w:line="276" w:lineRule="auto"/>
        <w:ind w:left="-364" w:right="542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collection requirements: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2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find out more about the data collection requirements placed on us by the Department for Education (for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via the school census) https://www.gov.uk/education/data-collection-and-censuses-for- schools.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4" w:right="6355"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Youth support services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4" w:right="7574"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Pupils aged 13+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6" w:line="276" w:lineRule="auto"/>
        <w:ind w:left="-364" w:right="-3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our pupils reach the age of 13, we also pass pupil information to our local authority and/or provider of youth support services as they have responsibilities in relation to the education or training of 13-19 year olds under section 507B of the Education Act 1996.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9" w:line="276" w:lineRule="auto"/>
        <w:ind w:left="-364" w:right="503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enables them to provide services as follows: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 w:right="663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support services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72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careers advisers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45" w:line="276" w:lineRule="auto"/>
        <w:ind w:left="-364" w:right="-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or guardian can request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child’s name, address and date of birth is passed to their local authority or provider of youth support services by informing us. This right is transferred to the child/pupil once he/she reaches the age 16.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31" w:line="276" w:lineRule="auto"/>
        <w:ind w:left="-364" w:right="7574"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Pupils aged 16+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6" w:line="276" w:lineRule="auto"/>
        <w:ind w:left="-364" w:right="-3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also share certain information about pupils aged 16+ with our local authority and / or provider of youth support services as they have responsibilities in relation to the education or training of 13-19 year olds under section 507B of the Education Act 1996.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8" w:line="276" w:lineRule="auto"/>
        <w:ind w:left="-364" w:right="503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enables them to provide services as follows: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3" w:line="276" w:lineRule="auto"/>
        <w:ind w:left="-4" w:right="50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post-16 education and training providers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663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support services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72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careers advisers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50" w:line="276" w:lineRule="auto"/>
        <w:ind w:left="-364" w:right="94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about services for young people, please visit our local authority website.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leader="none" w:pos="4962"/>
        </w:tabs>
        <w:spacing w:after="0" w:before="1032" w:line="276" w:lineRule="auto"/>
        <w:ind w:left="-567" w:right="4" w:firstLine="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National Pupil Database (NPD)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18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18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find out more about the NPD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https://www.gov.uk/government/publications/national-pupil- database-user-guide-and-supporting-information.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8" w:line="276" w:lineRule="auto"/>
        <w:ind w:left="-364" w:right="-15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may share information about our pupils from the NPD with third parties who promote the education or well-being of children in England by: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3" w:line="276" w:lineRule="auto"/>
        <w:ind w:left="-4" w:right="58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conducting research or analysis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693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producing statistics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49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information, advice or guidance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45" w:line="276" w:lineRule="auto"/>
        <w:ind w:left="-364" w:right="-30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78" w:line="276" w:lineRule="auto"/>
        <w:ind w:left="-4" w:right="628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requesting the data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551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for which it is required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447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level and sensitivity of data requested: and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37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arrangements in place to store and handle the data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45" w:line="276" w:lineRule="auto"/>
        <w:ind w:left="-364" w:right="-1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granted access to pupil information, organisations must comply with strict terms and conditions covering the confidentiality and handling of the data, security arrangements and retention and use of the data.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182" w:firstLine="0"/>
        <w:jc w:val="both"/>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18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https://www.gov.uk/data- protection-how-we-collect-and-share-research-data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68" w:line="276" w:lineRule="auto"/>
        <w:ind w:left="-364" w:right="-115"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information about which organisations the department has provided pupil information, (and for which project), please visit the following website: https://www.gov.uk/government/publications/national-pupil- database-requests-received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4" w:right="5049"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contact DfE: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https://www.gov.uk/contact-dfe</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4" w:right="5049"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 w:right="-705"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Requesting access to your personal data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4" w:right="-15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data protection legislation, parents and pupils have the right to request access to information about them that we hold. To make a request for your personal information, or be given access to your child’s educational record, contact </w:t>
      </w:r>
      <w:r w:rsidDel="00000000" w:rsidR="00000000" w:rsidRPr="00000000">
        <w:rPr>
          <w:rtl w:val="0"/>
        </w:rPr>
        <w:t xml:space="preserve">Simon Gordon - </w:t>
      </w:r>
      <w:r w:rsidDel="00000000" w:rsidR="00000000" w:rsidRPr="00000000">
        <w:rPr>
          <w:rtl w:val="0"/>
        </w:rPr>
        <w:t xml:space="preserve">Simon.Gordon@soundskool.co.uk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32" w:line="276" w:lineRule="auto"/>
        <w:ind w:left="-364" w:right="704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also have the right to: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8" w:line="276" w:lineRule="auto"/>
        <w:ind w:left="-4" w:right="44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 to processing of personal data that is likely to cause, or is causing, damage or distress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375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processing for the purpose of direct marketing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394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 to decisions being taken by automated means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4" w:right="-24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certain circumstances, have inaccurate personal data rectified, blocked, erased or destroyed; and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5" w:line="276" w:lineRule="auto"/>
        <w:ind w:left="-4" w:right="8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50" w:line="276" w:lineRule="auto"/>
        <w:ind w:left="-364" w:right="-30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 concern about the way we are collecting or using your personal data, we request that you raise your concern with us in the first instance. Alternatively, you can contact the Information Commissioner’s Office at https://ico.org.uk/concerns/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364" w:right="835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21" w:line="276" w:lineRule="auto"/>
        <w:ind w:left="-364" w:right="28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would like to discuss anything in this privacy notice, please contact: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4" w:right="22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Simon Gordon, Founder and CEO of SoundSkool and Data Protection Officer – simon.gordon@soundskool.co.uk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drawing>
        <wp:inline distB="114300" distT="114300" distL="114300" distR="114300">
          <wp:extent cx="3376613" cy="1076836"/>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76613" cy="10768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D437A"/>
    <w:pPr>
      <w:tabs>
        <w:tab w:val="center" w:pos="4320"/>
        <w:tab w:val="right" w:pos="8640"/>
      </w:tabs>
      <w:spacing w:line="240" w:lineRule="auto"/>
    </w:pPr>
  </w:style>
  <w:style w:type="character" w:styleId="HeaderChar" w:customStyle="1">
    <w:name w:val="Header Char"/>
    <w:basedOn w:val="DefaultParagraphFont"/>
    <w:link w:val="Header"/>
    <w:uiPriority w:val="99"/>
    <w:rsid w:val="004D437A"/>
  </w:style>
  <w:style w:type="paragraph" w:styleId="Footer">
    <w:name w:val="footer"/>
    <w:basedOn w:val="Normal"/>
    <w:link w:val="FooterChar"/>
    <w:uiPriority w:val="99"/>
    <w:unhideWhenUsed w:val="1"/>
    <w:rsid w:val="004D437A"/>
    <w:pPr>
      <w:tabs>
        <w:tab w:val="center" w:pos="4320"/>
        <w:tab w:val="right" w:pos="8640"/>
      </w:tabs>
      <w:spacing w:line="240" w:lineRule="auto"/>
    </w:pPr>
  </w:style>
  <w:style w:type="character" w:styleId="FooterChar" w:customStyle="1">
    <w:name w:val="Footer Char"/>
    <w:basedOn w:val="DefaultParagraphFont"/>
    <w:link w:val="Footer"/>
    <w:uiPriority w:val="99"/>
    <w:rsid w:val="004D437A"/>
  </w:style>
  <w:style w:type="paragraph" w:styleId="BalloonText">
    <w:name w:val="Balloon Text"/>
    <w:basedOn w:val="Normal"/>
    <w:link w:val="BalloonTextChar"/>
    <w:uiPriority w:val="99"/>
    <w:semiHidden w:val="1"/>
    <w:unhideWhenUsed w:val="1"/>
    <w:rsid w:val="004D437A"/>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D437A"/>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ntact-df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tGGRps0itzYFyxz3T/Np4y+xJg==">AMUW2mULRpqUCEOHXs8EqJft1OtA4D0LgSRHiqRUKwYoNcg7F6a8T+cyx9InifxMgSW46b56eMjwhoagkF6sZ4Gy1b+QwMauWmtSh75N2m7OeyC/8hggu8dWXAhGVdNjMTMHBoBQHIRL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2019-06-04T15:29:00Z</dcterms:created>
</cp:coreProperties>
</file>